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Информация о результатах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плановых и внеплановых проверок, проведенных 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Управлением Федерального казначейства по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Костромской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области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jc w:val="center"/>
        <w:spacing w:after="200" w:line="330" w:lineRule="atLeast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341"/>
        <w:gridCol w:w="6080"/>
      </w:tblGrid>
      <w:tr>
        <w:tblPrEx/>
        <w:trPr>
          <w:trHeight w:val="61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7" w:type="pct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Некоммерческ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ая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я</w:t>
            </w: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 xml:space="preserve"> «Фонд капитального ремонта многоквартирных домов Костромской области»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125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Основание для проведения контрольного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7" w:type="pct"/>
            <w:textDirection w:val="lrTb"/>
            <w:noWrap w:val="false"/>
          </w:tcPr>
          <w:p>
            <w:pPr>
              <w:jc w:val="both"/>
              <w:spacing w:after="200" w:line="0" w:lineRule="atLeast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Приказ Управления Федерального казначейст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ва по Костромской области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мая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г. №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87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8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7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лановая выездная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проверка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135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7" w:type="pct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Проверка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7" w:type="pct"/>
            <w:textDirection w:val="lrTb"/>
            <w:noWrap w:val="false"/>
          </w:tcPr>
          <w:p>
            <w:pPr>
              <w:jc w:val="both"/>
              <w:spacing w:after="0" w:line="240" w:lineRule="auto"/>
              <w:tabs>
                <w:tab w:val="left" w:pos="8233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2024-2025 годы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7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Срок проведения контрольного мероприятия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7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18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.202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/>
              </w:rPr>
              <w:t xml:space="preserve">06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.0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.202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105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7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По результатам контрольного мероприятия установлены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нарушения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 требований законодательства Российской Федерации и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иных нормативных правовых актов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119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83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Результат контрольного мероприятия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17" w:type="pct"/>
            <w:textDirection w:val="lrTb"/>
            <w:noWrap w:val="false"/>
          </w:tcPr>
          <w:p>
            <w:pPr>
              <w:spacing w:after="0" w:line="240" w:lineRule="auto"/>
              <w:tabs>
                <w:tab w:val="left" w:pos="317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Акт выездной проверки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от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06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6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833"/>
    <w:link w:val="686"/>
    <w:uiPriority w:val="35"/>
    <w:rPr>
      <w:b/>
      <w:bCs/>
      <w:color w:val="4f81bd" w:themeColor="accent1"/>
      <w:sz w:val="18"/>
      <w:szCs w:val="18"/>
    </w:rPr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14</cp:revision>
  <dcterms:created xsi:type="dcterms:W3CDTF">2023-03-13T11:26:00Z</dcterms:created>
  <dcterms:modified xsi:type="dcterms:W3CDTF">2026-07-09T12:29:06Z</dcterms:modified>
</cp:coreProperties>
</file>